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8F" w:rsidRDefault="0062048F" w:rsidP="006C2F47">
      <w:pPr>
        <w:jc w:val="left"/>
        <w:rPr>
          <w:b/>
          <w:bCs/>
          <w:sz w:val="28"/>
          <w:szCs w:val="28"/>
        </w:rPr>
      </w:pPr>
      <w:r w:rsidRPr="002C39B0">
        <w:rPr>
          <w:b/>
          <w:bCs/>
          <w:sz w:val="28"/>
          <w:szCs w:val="28"/>
        </w:rPr>
        <w:t>Communiqué</w:t>
      </w:r>
      <w:r w:rsidR="007417D2">
        <w:rPr>
          <w:b/>
          <w:bCs/>
          <w:sz w:val="28"/>
          <w:szCs w:val="28"/>
        </w:rPr>
        <w:t xml:space="preserve"> de presse</w:t>
      </w:r>
    </w:p>
    <w:p w:rsidR="006C2F47" w:rsidRPr="002C39B0" w:rsidRDefault="006C2F47" w:rsidP="006C2F47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diffusion immédiate</w:t>
      </w:r>
    </w:p>
    <w:p w:rsidR="006C6879" w:rsidRDefault="006C6879" w:rsidP="00A6769D">
      <w:pPr>
        <w:jc w:val="center"/>
        <w:rPr>
          <w:b/>
          <w:bCs/>
        </w:rPr>
      </w:pPr>
    </w:p>
    <w:p w:rsidR="0062048F" w:rsidRPr="002C39B0" w:rsidRDefault="0062048F" w:rsidP="002C39B0">
      <w:pPr>
        <w:ind w:left="0" w:firstLine="0"/>
        <w:rPr>
          <w:b/>
          <w:bCs/>
        </w:rPr>
      </w:pPr>
    </w:p>
    <w:p w:rsidR="0062048F" w:rsidRPr="00C75CCF" w:rsidRDefault="00A3066D" w:rsidP="00A6769D">
      <w:pPr>
        <w:jc w:val="center"/>
        <w:rPr>
          <w:b/>
        </w:rPr>
      </w:pPr>
      <w:r>
        <w:rPr>
          <w:b/>
        </w:rPr>
        <w:t xml:space="preserve">LE PPU DE SILLERY : LA PRIORITÉ </w:t>
      </w:r>
      <w:r w:rsidR="00626ABB">
        <w:rPr>
          <w:b/>
        </w:rPr>
        <w:t xml:space="preserve">EST </w:t>
      </w:r>
      <w:r>
        <w:rPr>
          <w:b/>
        </w:rPr>
        <w:t>DONNÉE AUX PROMOTEURS</w:t>
      </w:r>
      <w:r w:rsidR="006C2F47">
        <w:rPr>
          <w:b/>
        </w:rPr>
        <w:t xml:space="preserve"> </w:t>
      </w:r>
    </w:p>
    <w:p w:rsidR="00E97EF1" w:rsidRDefault="00E97EF1" w:rsidP="00123232">
      <w:pPr>
        <w:ind w:left="567" w:firstLine="0"/>
      </w:pPr>
    </w:p>
    <w:p w:rsidR="00D27B75" w:rsidRDefault="00A3066D" w:rsidP="006C2F47">
      <w:pPr>
        <w:ind w:left="567" w:firstLine="0"/>
      </w:pPr>
      <w:r>
        <w:rPr>
          <w:b/>
        </w:rPr>
        <w:t xml:space="preserve">Québec, le  </w:t>
      </w:r>
      <w:r w:rsidR="00725219">
        <w:rPr>
          <w:b/>
        </w:rPr>
        <w:t>1</w:t>
      </w:r>
      <w:r w:rsidR="00725219" w:rsidRPr="00427CD7">
        <w:rPr>
          <w:b/>
          <w:vertAlign w:val="superscript"/>
        </w:rPr>
        <w:t>er</w:t>
      </w:r>
      <w:r w:rsidR="00725219">
        <w:rPr>
          <w:b/>
        </w:rPr>
        <w:t xml:space="preserve"> juin </w:t>
      </w:r>
      <w:r>
        <w:rPr>
          <w:b/>
        </w:rPr>
        <w:t>2015</w:t>
      </w:r>
      <w:r w:rsidR="00C75CCF" w:rsidRPr="00C75CCF">
        <w:rPr>
          <w:b/>
        </w:rPr>
        <w:t xml:space="preserve"> </w:t>
      </w:r>
      <w:r w:rsidR="00C75CCF">
        <w:t xml:space="preserve">– </w:t>
      </w:r>
      <w:r>
        <w:t>Le Plan particulier d’urbanisme de Sillery (PPU) ouvre la voie au</w:t>
      </w:r>
      <w:r w:rsidR="006C2F47">
        <w:t xml:space="preserve"> saccage du tissu urbain de plusieurs quartiers</w:t>
      </w:r>
      <w:r w:rsidR="00C2708A">
        <w:t xml:space="preserve">. Deux secteurs </w:t>
      </w:r>
      <w:r w:rsidR="00427CD7">
        <w:t xml:space="preserve">attirent </w:t>
      </w:r>
      <w:r>
        <w:t>particulièrement</w:t>
      </w:r>
      <w:r w:rsidR="00C2708A">
        <w:t xml:space="preserve"> </w:t>
      </w:r>
      <w:r w:rsidR="00427CD7">
        <w:t>notre attention</w:t>
      </w:r>
      <w:r w:rsidR="00C2708A">
        <w:t>:</w:t>
      </w:r>
      <w:r>
        <w:t xml:space="preserve"> le faubourg Saint-Michel et les rues Preston, des Grands-Pins et Joseph-Rousseau </w:t>
      </w:r>
      <w:r w:rsidR="00626ABB">
        <w:t>dans leur portion située</w:t>
      </w:r>
      <w:r>
        <w:t xml:space="preserve"> au sud de la rue </w:t>
      </w:r>
      <w:proofErr w:type="spellStart"/>
      <w:r>
        <w:t>Sheppard</w:t>
      </w:r>
      <w:proofErr w:type="spellEnd"/>
      <w:r>
        <w:t xml:space="preserve">. </w:t>
      </w:r>
    </w:p>
    <w:p w:rsidR="00A90EE3" w:rsidRDefault="00A90EE3" w:rsidP="006C2F47">
      <w:pPr>
        <w:ind w:left="567" w:firstLine="0"/>
      </w:pPr>
    </w:p>
    <w:p w:rsidR="00B56700" w:rsidRPr="00B56700" w:rsidRDefault="00526161" w:rsidP="006C2F47">
      <w:pPr>
        <w:ind w:left="567" w:firstLine="0"/>
        <w:rPr>
          <w:i/>
        </w:rPr>
      </w:pPr>
      <w:r>
        <w:rPr>
          <w:i/>
        </w:rPr>
        <w:t xml:space="preserve">Ce que nous déplorons </w:t>
      </w:r>
      <w:r w:rsidR="00B56700">
        <w:rPr>
          <w:i/>
        </w:rPr>
        <w:t>:</w:t>
      </w:r>
    </w:p>
    <w:p w:rsidR="006C2F47" w:rsidRDefault="00A3389F" w:rsidP="0001745F">
      <w:pPr>
        <w:ind w:left="567" w:firstLine="0"/>
      </w:pPr>
      <w:r>
        <w:t>Le</w:t>
      </w:r>
      <w:r w:rsidR="00A90EE3">
        <w:t xml:space="preserve"> Comité pour la densification respectueuse (CDR) </w:t>
      </w:r>
      <w:r w:rsidR="00526161">
        <w:t>désapprouve</w:t>
      </w:r>
      <w:r w:rsidR="00A90EE3">
        <w:t xml:space="preserve"> que</w:t>
      </w:r>
      <w:r>
        <w:t xml:space="preserve"> </w:t>
      </w:r>
      <w:r w:rsidR="00526161">
        <w:t xml:space="preserve">le </w:t>
      </w:r>
      <w:r>
        <w:t xml:space="preserve">PPU propose d’insérer 123 logements dans le faubourg Saint-Michel. Le gabarit </w:t>
      </w:r>
      <w:r w:rsidR="00526161">
        <w:t xml:space="preserve">permis </w:t>
      </w:r>
      <w:r>
        <w:t>de</w:t>
      </w:r>
      <w:r w:rsidR="00526161">
        <w:t xml:space="preserve"> ce</w:t>
      </w:r>
      <w:r>
        <w:t xml:space="preserve">s nouvelles constructions </w:t>
      </w:r>
      <w:r w:rsidR="00A90EE3">
        <w:t>ne sera pas harmonisé avec celui des bâtiments existant</w:t>
      </w:r>
      <w:r>
        <w:t>s</w:t>
      </w:r>
      <w:r w:rsidR="00526161">
        <w:t xml:space="preserve"> à proximité dont</w:t>
      </w:r>
      <w:r w:rsidR="00D05506">
        <w:t>,</w:t>
      </w:r>
      <w:r w:rsidR="00526161">
        <w:t xml:space="preserve"> rappelons-le</w:t>
      </w:r>
      <w:r w:rsidR="00D05506">
        <w:t>,</w:t>
      </w:r>
      <w:r w:rsidR="00526161">
        <w:t xml:space="preserve"> la valeur historique est </w:t>
      </w:r>
      <w:r w:rsidR="00D05506">
        <w:t xml:space="preserve">visible au premier coup </w:t>
      </w:r>
      <w:r w:rsidR="00725219">
        <w:t xml:space="preserve">d’œil </w:t>
      </w:r>
      <w:r w:rsidR="00D05506">
        <w:t xml:space="preserve">et </w:t>
      </w:r>
      <w:r w:rsidR="00526161">
        <w:t>reconnu</w:t>
      </w:r>
      <w:r w:rsidR="00D05506">
        <w:t xml:space="preserve"> par  les autorités en cette matière</w:t>
      </w:r>
      <w:r w:rsidR="00593F4F">
        <w:t>.</w:t>
      </w:r>
      <w:r w:rsidR="00A90EE3">
        <w:t xml:space="preserve"> À cela, s’ajoutera la circulation de centaines de voitures d</w:t>
      </w:r>
      <w:r w:rsidR="009047B7">
        <w:t>ans les rues étroites du faubourg</w:t>
      </w:r>
      <w:r w:rsidR="00D05506">
        <w:t xml:space="preserve"> et qui ne fait pas l’objet d’un traitement particulier dans le PPU</w:t>
      </w:r>
      <w:r w:rsidR="00A90EE3">
        <w:t xml:space="preserve">. </w:t>
      </w:r>
      <w:r w:rsidR="00D05506">
        <w:t>L</w:t>
      </w:r>
      <w:r w:rsidR="00A90EE3">
        <w:t>e quartier deviendra beaucoup moins attrayant pour les</w:t>
      </w:r>
      <w:r w:rsidR="00D05506">
        <w:t xml:space="preserve"> jeunes </w:t>
      </w:r>
      <w:r w:rsidR="00A90EE3">
        <w:t xml:space="preserve"> familles</w:t>
      </w:r>
      <w:r w:rsidR="00D05506">
        <w:t xml:space="preserve"> avec l’augmentation de la circulation déplorée précédemment et</w:t>
      </w:r>
      <w:r w:rsidR="00C2708A">
        <w:t xml:space="preserve"> </w:t>
      </w:r>
      <w:r w:rsidR="00D05506">
        <w:t xml:space="preserve">avec </w:t>
      </w:r>
      <w:r w:rsidR="00C2708A">
        <w:t xml:space="preserve">la démolition de l’aréna Jacques-Côté qui </w:t>
      </w:r>
      <w:r w:rsidR="00D05506">
        <w:t xml:space="preserve">constitue un actif </w:t>
      </w:r>
      <w:r w:rsidR="00E36712">
        <w:t xml:space="preserve">très utilisé, </w:t>
      </w:r>
      <w:r w:rsidR="00D05506">
        <w:t>d’une grande valeur dont nous attendons toujours le vrai détail des coûts pour sa remise aux normes</w:t>
      </w:r>
      <w:r w:rsidR="00C2708A">
        <w:t>.</w:t>
      </w:r>
    </w:p>
    <w:p w:rsidR="00A90EE3" w:rsidRDefault="00A90EE3" w:rsidP="0001745F">
      <w:pPr>
        <w:ind w:left="567" w:firstLine="0"/>
      </w:pPr>
    </w:p>
    <w:p w:rsidR="0001745F" w:rsidRDefault="0001745F" w:rsidP="0001745F">
      <w:pPr>
        <w:ind w:left="567" w:firstLine="0"/>
      </w:pPr>
      <w:r>
        <w:t xml:space="preserve">Le </w:t>
      </w:r>
      <w:r w:rsidR="00C2708A">
        <w:t>CDR a</w:t>
      </w:r>
      <w:r w:rsidR="00A90EE3">
        <w:t xml:space="preserve"> relevé</w:t>
      </w:r>
      <w:r w:rsidR="00C2708A">
        <w:t xml:space="preserve"> par ailleurs</w:t>
      </w:r>
      <w:r w:rsidR="00A90EE3">
        <w:t xml:space="preserve"> que la Ville</w:t>
      </w:r>
      <w:r w:rsidR="00926540">
        <w:t xml:space="preserve"> </w:t>
      </w:r>
      <w:r w:rsidR="00A90EE3">
        <w:t>entend modifier le zonage des rues Preston, des Grands-Pins et Joseph-Rousseau</w:t>
      </w:r>
      <w:r w:rsidR="00E168CA">
        <w:t xml:space="preserve"> dans leur portion située au </w:t>
      </w:r>
      <w:r w:rsidR="00E168CA" w:rsidRPr="00725219">
        <w:t xml:space="preserve">sud de la rue </w:t>
      </w:r>
      <w:proofErr w:type="spellStart"/>
      <w:r w:rsidR="00E168CA" w:rsidRPr="00725219">
        <w:t>Sheppard</w:t>
      </w:r>
      <w:proofErr w:type="spellEnd"/>
      <w:r w:rsidR="00E168CA" w:rsidRPr="00725219">
        <w:t xml:space="preserve">. </w:t>
      </w:r>
      <w:r w:rsidR="00926540" w:rsidRPr="00725219">
        <w:t xml:space="preserve">Le CDR se questionne sur la stratégie de la Ville sur cet élément car il n’en fut aucunement question lors de la séance d’information que la Ville a elle-même dirigée </w:t>
      </w:r>
      <w:r w:rsidR="00725219" w:rsidRPr="00725219">
        <w:t>le 13</w:t>
      </w:r>
      <w:r w:rsidR="00926540" w:rsidRPr="00427CD7">
        <w:t xml:space="preserve"> mai</w:t>
      </w:r>
      <w:r w:rsidR="00926540" w:rsidRPr="00725219">
        <w:t xml:space="preserve"> dernier. Ainsi le PPU propose d’</w:t>
      </w:r>
      <w:r w:rsidR="00E168CA" w:rsidRPr="00725219">
        <w:t>augmente</w:t>
      </w:r>
      <w:r w:rsidR="00926540" w:rsidRPr="00725219">
        <w:t>r</w:t>
      </w:r>
      <w:r w:rsidR="00E168CA" w:rsidRPr="00725219">
        <w:t xml:space="preserve"> de 9</w:t>
      </w:r>
      <w:r w:rsidR="00926540" w:rsidRPr="00725219">
        <w:t xml:space="preserve"> </w:t>
      </w:r>
      <w:r w:rsidR="00E168CA" w:rsidRPr="00725219">
        <w:t>m à 10</w:t>
      </w:r>
      <w:r w:rsidR="00926540" w:rsidRPr="00725219">
        <w:t xml:space="preserve"> </w:t>
      </w:r>
      <w:r w:rsidR="00E168CA" w:rsidRPr="00725219">
        <w:t xml:space="preserve">m la hauteur maximale des nouvelles constructions et </w:t>
      </w:r>
      <w:r w:rsidR="00926540" w:rsidRPr="00725219">
        <w:t xml:space="preserve">de </w:t>
      </w:r>
      <w:r w:rsidR="00E168CA" w:rsidRPr="00725219">
        <w:t>rédui</w:t>
      </w:r>
      <w:r w:rsidR="00926540" w:rsidRPr="00725219">
        <w:t>re</w:t>
      </w:r>
      <w:r w:rsidR="00E168CA" w:rsidRPr="00725219">
        <w:t xml:space="preserve"> l’aire verte minimale du secteur à 10%</w:t>
      </w:r>
      <w:r w:rsidR="00926540" w:rsidRPr="00725219">
        <w:t xml:space="preserve"> alors qu’elle se situe présentement</w:t>
      </w:r>
      <w:r w:rsidR="00926540">
        <w:t xml:space="preserve"> à 20% et même 30% selon l’endroit.</w:t>
      </w:r>
      <w:r w:rsidR="00845F79">
        <w:t xml:space="preserve"> </w:t>
      </w:r>
      <w:r w:rsidR="009047B7">
        <w:t>L’assouplissement des normes facilitera l’insertion des jumelés volumineux</w:t>
      </w:r>
      <w:r w:rsidR="00E168CA">
        <w:t xml:space="preserve"> qui ont commencé à envahir le paysage</w:t>
      </w:r>
      <w:r w:rsidR="00626ABB">
        <w:t xml:space="preserve"> du secteur</w:t>
      </w:r>
      <w:r w:rsidR="002D3AB3">
        <w:t xml:space="preserve"> en brisant son harmonie distinctive et en le privant de sa canopée arboricole</w:t>
      </w:r>
      <w:r w:rsidR="00E168CA">
        <w:t xml:space="preserve">. </w:t>
      </w:r>
      <w:r w:rsidR="009047B7">
        <w:t>Les résidents seront ainsi les témoins impuissants de l’étiolement de</w:t>
      </w:r>
      <w:r w:rsidR="00626ABB">
        <w:t xml:space="preserve"> leur milieu de vie et les jeunes familles verront</w:t>
      </w:r>
      <w:r w:rsidR="009047B7">
        <w:t xml:space="preserve"> quant à elles</w:t>
      </w:r>
      <w:r w:rsidR="00626ABB">
        <w:t xml:space="preserve"> disparaître</w:t>
      </w:r>
      <w:r w:rsidR="002D3AB3">
        <w:t xml:space="preserve"> définitivement</w:t>
      </w:r>
      <w:r w:rsidR="00626ABB">
        <w:t xml:space="preserve"> la chance d’acheter une propriété près de tous les services à </w:t>
      </w:r>
      <w:r w:rsidR="002D3AB3">
        <w:t xml:space="preserve">un </w:t>
      </w:r>
      <w:r w:rsidR="00626ABB">
        <w:t>coût raisonnable.</w:t>
      </w:r>
    </w:p>
    <w:p w:rsidR="00626ABB" w:rsidRDefault="00626ABB" w:rsidP="0001745F">
      <w:pPr>
        <w:ind w:left="567" w:firstLine="0"/>
      </w:pPr>
    </w:p>
    <w:p w:rsidR="0001745F" w:rsidRDefault="009047B7" w:rsidP="0001745F">
      <w:pPr>
        <w:ind w:left="567" w:firstLine="0"/>
      </w:pPr>
      <w:r>
        <w:t xml:space="preserve">La Ville profite de l’élaboration du PPU pour enlever à de nombreux résidents, en toute légalité, leur droit à la contestation prévu par la Loi sur l’aménagement et l’urbanisme. </w:t>
      </w:r>
      <w:r w:rsidR="00AB319C">
        <w:t xml:space="preserve">Pourquoi? Pour plaire d’abord aux </w:t>
      </w:r>
      <w:proofErr w:type="spellStart"/>
      <w:r w:rsidR="00AB319C">
        <w:t>promoteurs</w:t>
      </w:r>
      <w:proofErr w:type="gramStart"/>
      <w:r w:rsidR="00725219">
        <w:t>?L</w:t>
      </w:r>
      <w:r w:rsidR="00AB319C">
        <w:t>a</w:t>
      </w:r>
      <w:proofErr w:type="spellEnd"/>
      <w:proofErr w:type="gramEnd"/>
      <w:r w:rsidR="00AB319C">
        <w:t xml:space="preserve"> priorité</w:t>
      </w:r>
      <w:r w:rsidR="00593F4F">
        <w:t xml:space="preserve"> qui s’impose au-dessus d’une vision</w:t>
      </w:r>
      <w:r w:rsidR="00AB319C">
        <w:t xml:space="preserve"> </w:t>
      </w:r>
      <w:r w:rsidR="00593F4F">
        <w:t>structurée</w:t>
      </w:r>
      <w:r w:rsidR="00725219">
        <w:t xml:space="preserve"> et concertée qui pourrait pourtant s’avérer </w:t>
      </w:r>
      <w:r w:rsidR="00593F4F">
        <w:t>stimulante pour favoriser la créativité des concepteurs compétents</w:t>
      </w:r>
      <w:r w:rsidR="00725219">
        <w:t>.</w:t>
      </w:r>
      <w:r w:rsidR="00AB319C">
        <w:t xml:space="preserve">  </w:t>
      </w:r>
      <w:r w:rsidR="00626ABB">
        <w:t xml:space="preserve">La manœuvre est </w:t>
      </w:r>
      <w:r w:rsidR="00593F4F">
        <w:t xml:space="preserve">plus que douteuse </w:t>
      </w:r>
      <w:r w:rsidR="00626ABB">
        <w:t>et mérite d’être dénoncée avec vigueur.</w:t>
      </w:r>
    </w:p>
    <w:p w:rsidR="00C75CCF" w:rsidRDefault="006C2F47" w:rsidP="0001745F">
      <w:pPr>
        <w:ind w:left="567" w:firstLine="0"/>
      </w:pPr>
      <w:r>
        <w:t xml:space="preserve"> </w:t>
      </w:r>
    </w:p>
    <w:p w:rsidR="00B56700" w:rsidRPr="00526161" w:rsidRDefault="00B56700" w:rsidP="0001745F">
      <w:pPr>
        <w:ind w:left="567" w:firstLine="0"/>
        <w:rPr>
          <w:i/>
        </w:rPr>
      </w:pPr>
      <w:r w:rsidRPr="00526161">
        <w:rPr>
          <w:i/>
        </w:rPr>
        <w:t>Nous proposons</w:t>
      </w:r>
      <w:r w:rsidR="00E36712">
        <w:rPr>
          <w:i/>
        </w:rPr>
        <w:t xml:space="preserve"> que</w:t>
      </w:r>
    </w:p>
    <w:p w:rsidR="00E36712" w:rsidRDefault="00E36712" w:rsidP="00725219">
      <w:pPr>
        <w:pStyle w:val="Paragraphedeliste"/>
        <w:numPr>
          <w:ilvl w:val="0"/>
          <w:numId w:val="2"/>
        </w:numPr>
        <w:ind w:left="851"/>
        <w:jc w:val="left"/>
      </w:pPr>
      <w:r>
        <w:t>Le faubourg Saint-Michel fasse l’objet d’une densification plus en douceur, qu</w:t>
      </w:r>
      <w:r w:rsidR="006A16E8">
        <w:t>’elle</w:t>
      </w:r>
      <w:r>
        <w:t xml:space="preserve"> s’inscrive en continuité avec  le gabarit actuel des maisons à proximité et de diminuer la limite de hauteur envisagée pour les nouvelles maisons qui s’en éloignent;</w:t>
      </w:r>
    </w:p>
    <w:p w:rsidR="00E36712" w:rsidRDefault="002D3AB3" w:rsidP="00725219">
      <w:pPr>
        <w:pStyle w:val="Paragraphedeliste"/>
        <w:numPr>
          <w:ilvl w:val="0"/>
          <w:numId w:val="2"/>
        </w:numPr>
        <w:ind w:left="851"/>
        <w:jc w:val="left"/>
      </w:pPr>
      <w:r>
        <w:t>L</w:t>
      </w:r>
      <w:r w:rsidR="00E36712">
        <w:t xml:space="preserve">’aréna Jacques-Côté </w:t>
      </w:r>
      <w:r>
        <w:t xml:space="preserve">soit conservé </w:t>
      </w:r>
      <w:r w:rsidR="00E36712">
        <w:t>tout en limitant au minimum les coûts de sa remise aux normes</w:t>
      </w:r>
      <w:r>
        <w:t>;</w:t>
      </w:r>
    </w:p>
    <w:p w:rsidR="002D3AB3" w:rsidRDefault="006A16E8" w:rsidP="00725219">
      <w:pPr>
        <w:pStyle w:val="Paragraphedeliste"/>
        <w:numPr>
          <w:ilvl w:val="0"/>
          <w:numId w:val="2"/>
        </w:numPr>
        <w:ind w:left="851"/>
        <w:jc w:val="left"/>
      </w:pPr>
      <w:r>
        <w:lastRenderedPageBreak/>
        <w:t>Le zonage des rues mentionnées précédemment demeure tel quel en attendant un renforcement des exigences en matière de densification tel que revendiqué par le CDR.</w:t>
      </w:r>
    </w:p>
    <w:p w:rsidR="00AB319C" w:rsidRDefault="00AB319C" w:rsidP="00725219">
      <w:pPr>
        <w:ind w:left="851" w:firstLine="0"/>
        <w:jc w:val="center"/>
      </w:pPr>
      <w:r>
        <w:t xml:space="preserve">-- 30 -- </w:t>
      </w:r>
    </w:p>
    <w:p w:rsidR="006C2F47" w:rsidRDefault="006C2F47" w:rsidP="006C2F47">
      <w:pPr>
        <w:ind w:left="567" w:firstLine="0"/>
        <w:jc w:val="left"/>
      </w:pPr>
    </w:p>
    <w:p w:rsidR="006C2F47" w:rsidRDefault="006C2F47" w:rsidP="0001745F">
      <w:pPr>
        <w:ind w:left="567" w:firstLine="0"/>
        <w:jc w:val="center"/>
      </w:pPr>
    </w:p>
    <w:p w:rsidR="0001745F" w:rsidRDefault="0001745F" w:rsidP="0001745F">
      <w:pPr>
        <w:jc w:val="center"/>
      </w:pPr>
    </w:p>
    <w:p w:rsidR="00C75CCF" w:rsidRDefault="00C75CCF" w:rsidP="00A6769D">
      <w:pPr>
        <w:ind w:left="567" w:firstLine="0"/>
      </w:pPr>
    </w:p>
    <w:p w:rsidR="0001745F" w:rsidRDefault="0001745F" w:rsidP="00A6769D">
      <w:pPr>
        <w:ind w:left="567" w:firstLine="0"/>
      </w:pPr>
      <w:r>
        <w:t>Source :</w:t>
      </w:r>
    </w:p>
    <w:p w:rsidR="00F01EFE" w:rsidRDefault="0062048F" w:rsidP="00A6769D">
      <w:pPr>
        <w:ind w:left="567" w:firstLine="0"/>
      </w:pPr>
      <w:r>
        <w:t xml:space="preserve">Comité pour </w:t>
      </w:r>
      <w:r w:rsidR="0001745F">
        <w:t>une</w:t>
      </w:r>
      <w:r>
        <w:t xml:space="preserve"> densification respectueuse</w:t>
      </w:r>
    </w:p>
    <w:p w:rsidR="006C2F47" w:rsidRDefault="00626ABB" w:rsidP="00A6769D">
      <w:pPr>
        <w:ind w:left="567" w:firstLine="0"/>
      </w:pPr>
      <w:r>
        <w:t>Michel Fournier</w:t>
      </w:r>
      <w:r w:rsidR="00DF1370">
        <w:t xml:space="preserve"> : </w:t>
      </w:r>
      <w:proofErr w:type="spellStart"/>
      <w:r w:rsidR="00DF1370">
        <w:t>Cell</w:t>
      </w:r>
      <w:proofErr w:type="spellEnd"/>
      <w:r w:rsidR="00DF1370">
        <w:t xml:space="preserve"> : </w:t>
      </w:r>
      <w:r w:rsidR="006A16E8">
        <w:t>581 989-8190, maison 418 688-6024</w:t>
      </w:r>
    </w:p>
    <w:p w:rsidR="00DF1370" w:rsidRDefault="00DF1370" w:rsidP="00A6769D">
      <w:pPr>
        <w:ind w:left="567" w:firstLine="0"/>
      </w:pPr>
    </w:p>
    <w:p w:rsidR="0062048F" w:rsidRDefault="006C2F47" w:rsidP="00A6769D">
      <w:pPr>
        <w:ind w:left="567" w:firstLine="0"/>
      </w:pPr>
      <w:r>
        <w:t xml:space="preserve">Site Internet : </w:t>
      </w:r>
      <w:hyperlink r:id="rId9" w:history="1">
        <w:r w:rsidR="00F01EFE" w:rsidRPr="00F01EFE">
          <w:rPr>
            <w:rStyle w:val="Lienhypertexte"/>
          </w:rPr>
          <w:t>http://densificationrespectueuse.weebly.com/</w:t>
        </w:r>
      </w:hyperlink>
    </w:p>
    <w:p w:rsidR="00CA23EF" w:rsidRDefault="00CA23EF" w:rsidP="00A6769D">
      <w:pPr>
        <w:ind w:left="567" w:firstLine="0"/>
      </w:pPr>
      <w:r>
        <w:t xml:space="preserve">Twitter : </w:t>
      </w:r>
      <w:proofErr w:type="spellStart"/>
      <w:r>
        <w:t>Densrespect</w:t>
      </w:r>
      <w:proofErr w:type="spellEnd"/>
    </w:p>
    <w:p w:rsidR="006C2F47" w:rsidRDefault="006C2F47" w:rsidP="00A6769D">
      <w:pPr>
        <w:ind w:left="567" w:firstLine="0"/>
      </w:pPr>
      <w:r>
        <w:t>Facebo</w:t>
      </w:r>
      <w:r w:rsidR="00DF1370">
        <w:t>ok : Densification Respectueuse</w:t>
      </w:r>
    </w:p>
    <w:p w:rsidR="00DF1370" w:rsidRDefault="00DF1370" w:rsidP="00A6769D">
      <w:pPr>
        <w:ind w:left="567" w:firstLine="0"/>
      </w:pPr>
      <w:r>
        <w:t>Courriel : densificationrespectueuse@gmail.com</w:t>
      </w:r>
    </w:p>
    <w:p w:rsidR="006C6879" w:rsidRDefault="006C6879" w:rsidP="00A6769D">
      <w:pPr>
        <w:ind w:left="567" w:firstLine="0"/>
      </w:pPr>
    </w:p>
    <w:p w:rsidR="0021058B" w:rsidRDefault="00D45942" w:rsidP="00A6769D">
      <w:pPr>
        <w:ind w:left="567" w:firstLine="0"/>
      </w:pPr>
      <w:r>
        <w:tab/>
      </w:r>
      <w:r>
        <w:tab/>
      </w:r>
      <w:bookmarkStart w:id="0" w:name="_GoBack"/>
      <w:bookmarkEnd w:id="0"/>
    </w:p>
    <w:sectPr w:rsidR="0021058B" w:rsidSect="00C75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31" w:right="14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51" w:rsidRDefault="00FB6A51" w:rsidP="006C2F47">
      <w:r>
        <w:separator/>
      </w:r>
    </w:p>
  </w:endnote>
  <w:endnote w:type="continuationSeparator" w:id="0">
    <w:p w:rsidR="00FB6A51" w:rsidRDefault="00FB6A51" w:rsidP="006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51" w:rsidRDefault="00FB6A51" w:rsidP="006C2F47">
      <w:r>
        <w:separator/>
      </w:r>
    </w:p>
  </w:footnote>
  <w:footnote w:type="continuationSeparator" w:id="0">
    <w:p w:rsidR="00FB6A51" w:rsidRDefault="00FB6A51" w:rsidP="006C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7" w:rsidRDefault="006C2F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3AA"/>
    <w:multiLevelType w:val="hybridMultilevel"/>
    <w:tmpl w:val="493617EA"/>
    <w:lvl w:ilvl="0" w:tplc="636CBC2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BB3A62"/>
    <w:multiLevelType w:val="hybridMultilevel"/>
    <w:tmpl w:val="D4124128"/>
    <w:lvl w:ilvl="0" w:tplc="EF7E68DA">
      <w:numFmt w:val="bullet"/>
      <w:lvlText w:val=""/>
      <w:lvlJc w:val="left"/>
      <w:pPr>
        <w:ind w:left="1211" w:hanging="360"/>
      </w:pPr>
      <w:rPr>
        <w:rFonts w:ascii="Wingdings" w:eastAsia="Calibr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7CC4A91"/>
    <w:multiLevelType w:val="hybridMultilevel"/>
    <w:tmpl w:val="B7AE408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D"/>
    <w:rsid w:val="0001745F"/>
    <w:rsid w:val="0004014A"/>
    <w:rsid w:val="00061AE9"/>
    <w:rsid w:val="000F3D72"/>
    <w:rsid w:val="001068C8"/>
    <w:rsid w:val="0011235F"/>
    <w:rsid w:val="00123232"/>
    <w:rsid w:val="00126501"/>
    <w:rsid w:val="001A4AA2"/>
    <w:rsid w:val="001B1CD3"/>
    <w:rsid w:val="001C138E"/>
    <w:rsid w:val="001E3AA1"/>
    <w:rsid w:val="001F5CAA"/>
    <w:rsid w:val="001F7F72"/>
    <w:rsid w:val="0021058B"/>
    <w:rsid w:val="00241AA3"/>
    <w:rsid w:val="0029122F"/>
    <w:rsid w:val="002978DD"/>
    <w:rsid w:val="002C39B0"/>
    <w:rsid w:val="002D3AB3"/>
    <w:rsid w:val="002E4387"/>
    <w:rsid w:val="00303E78"/>
    <w:rsid w:val="00314D0A"/>
    <w:rsid w:val="00323DAA"/>
    <w:rsid w:val="00364D15"/>
    <w:rsid w:val="00370D0D"/>
    <w:rsid w:val="003D76E7"/>
    <w:rsid w:val="003E17D7"/>
    <w:rsid w:val="00427CD7"/>
    <w:rsid w:val="00435CE2"/>
    <w:rsid w:val="004D2EC4"/>
    <w:rsid w:val="004F3AA1"/>
    <w:rsid w:val="00526161"/>
    <w:rsid w:val="00562EA9"/>
    <w:rsid w:val="00590E71"/>
    <w:rsid w:val="00593F4F"/>
    <w:rsid w:val="006117F9"/>
    <w:rsid w:val="0062048F"/>
    <w:rsid w:val="00626ABB"/>
    <w:rsid w:val="006A16E8"/>
    <w:rsid w:val="006C2F47"/>
    <w:rsid w:val="006C6879"/>
    <w:rsid w:val="006D0B21"/>
    <w:rsid w:val="006D4B85"/>
    <w:rsid w:val="006D55EC"/>
    <w:rsid w:val="00725219"/>
    <w:rsid w:val="007417D2"/>
    <w:rsid w:val="0075263C"/>
    <w:rsid w:val="00760FE4"/>
    <w:rsid w:val="007A7EA7"/>
    <w:rsid w:val="007B73D8"/>
    <w:rsid w:val="007C0704"/>
    <w:rsid w:val="007D0A3D"/>
    <w:rsid w:val="00820777"/>
    <w:rsid w:val="008264D1"/>
    <w:rsid w:val="00845F79"/>
    <w:rsid w:val="008757DE"/>
    <w:rsid w:val="0087709C"/>
    <w:rsid w:val="009047B7"/>
    <w:rsid w:val="009059DD"/>
    <w:rsid w:val="00926540"/>
    <w:rsid w:val="00964ED2"/>
    <w:rsid w:val="00983E4C"/>
    <w:rsid w:val="00A01B95"/>
    <w:rsid w:val="00A3066D"/>
    <w:rsid w:val="00A3389F"/>
    <w:rsid w:val="00A6769D"/>
    <w:rsid w:val="00A90EE3"/>
    <w:rsid w:val="00AB319C"/>
    <w:rsid w:val="00AD05E6"/>
    <w:rsid w:val="00B01CC9"/>
    <w:rsid w:val="00B325D1"/>
    <w:rsid w:val="00B50080"/>
    <w:rsid w:val="00B56700"/>
    <w:rsid w:val="00B80DE4"/>
    <w:rsid w:val="00B977CC"/>
    <w:rsid w:val="00C07A72"/>
    <w:rsid w:val="00C07BD5"/>
    <w:rsid w:val="00C12744"/>
    <w:rsid w:val="00C2708A"/>
    <w:rsid w:val="00C64C22"/>
    <w:rsid w:val="00C75CCF"/>
    <w:rsid w:val="00CA23EF"/>
    <w:rsid w:val="00CD5669"/>
    <w:rsid w:val="00D05506"/>
    <w:rsid w:val="00D27B75"/>
    <w:rsid w:val="00D31CE8"/>
    <w:rsid w:val="00D428E2"/>
    <w:rsid w:val="00D45942"/>
    <w:rsid w:val="00D46A14"/>
    <w:rsid w:val="00DB3D5C"/>
    <w:rsid w:val="00DD22FB"/>
    <w:rsid w:val="00DF1370"/>
    <w:rsid w:val="00E11D67"/>
    <w:rsid w:val="00E168CA"/>
    <w:rsid w:val="00E36712"/>
    <w:rsid w:val="00E97EF1"/>
    <w:rsid w:val="00EB5F81"/>
    <w:rsid w:val="00EE50C0"/>
    <w:rsid w:val="00EF1A63"/>
    <w:rsid w:val="00F01EFE"/>
    <w:rsid w:val="00F34F6B"/>
    <w:rsid w:val="00F83E01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C"/>
    <w:pPr>
      <w:ind w:left="992" w:hanging="425"/>
      <w:jc w:val="both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B7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428E2"/>
    <w:rPr>
      <w:i/>
      <w:iCs/>
    </w:rPr>
  </w:style>
  <w:style w:type="character" w:customStyle="1" w:styleId="apple-converted-space">
    <w:name w:val="apple-converted-space"/>
    <w:basedOn w:val="Policepardfaut"/>
    <w:rsid w:val="00D428E2"/>
  </w:style>
  <w:style w:type="paragraph" w:styleId="Textedebulles">
    <w:name w:val="Balloon Text"/>
    <w:basedOn w:val="Normal"/>
    <w:link w:val="TextedebullesCar"/>
    <w:uiPriority w:val="99"/>
    <w:semiHidden/>
    <w:unhideWhenUsed/>
    <w:rsid w:val="002E43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387"/>
    <w:rPr>
      <w:rFonts w:ascii="Lucida Grande" w:hAnsi="Lucida Grande" w:cs="Calibr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017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2F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2F47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2F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F4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C"/>
    <w:pPr>
      <w:ind w:left="992" w:hanging="425"/>
      <w:jc w:val="both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B7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428E2"/>
    <w:rPr>
      <w:i/>
      <w:iCs/>
    </w:rPr>
  </w:style>
  <w:style w:type="character" w:customStyle="1" w:styleId="apple-converted-space">
    <w:name w:val="apple-converted-space"/>
    <w:basedOn w:val="Policepardfaut"/>
    <w:rsid w:val="00D428E2"/>
  </w:style>
  <w:style w:type="paragraph" w:styleId="Textedebulles">
    <w:name w:val="Balloon Text"/>
    <w:basedOn w:val="Normal"/>
    <w:link w:val="TextedebullesCar"/>
    <w:uiPriority w:val="99"/>
    <w:semiHidden/>
    <w:unhideWhenUsed/>
    <w:rsid w:val="002E43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387"/>
    <w:rPr>
      <w:rFonts w:ascii="Lucida Grande" w:hAnsi="Lucida Grande" w:cs="Calibr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017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2F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2F47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2F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F4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nsificationrespectueuse.weebly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497D-43FA-4311-B96F-AB5EECB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Toshiba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Gaétan</dc:creator>
  <cp:lastModifiedBy>Hélène</cp:lastModifiedBy>
  <cp:revision>3</cp:revision>
  <cp:lastPrinted>2014-07-17T13:45:00Z</cp:lastPrinted>
  <dcterms:created xsi:type="dcterms:W3CDTF">2015-06-01T20:19:00Z</dcterms:created>
  <dcterms:modified xsi:type="dcterms:W3CDTF">2015-06-01T20:23:00Z</dcterms:modified>
</cp:coreProperties>
</file>